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C3D76" w14:textId="69946F58" w:rsidR="00C314AB" w:rsidRDefault="00C314AB" w:rsidP="00535B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C314A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Прокуратура Ловозерского района разъясняет о следующих изменениях в законодательстве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РФ за период июнь – август 2023 года: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</w:p>
    <w:p w14:paraId="75B70797" w14:textId="77777777" w:rsidR="00C314AB" w:rsidRDefault="00C314AB" w:rsidP="00535B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14:paraId="61CCCD75" w14:textId="038FF230" w:rsidR="00535BF4" w:rsidRPr="00535BF4" w:rsidRDefault="00C314AB" w:rsidP="00535B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У</w:t>
      </w:r>
      <w:r w:rsidR="00535BF4" w:rsidRPr="00535BF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точнены полномочия руководителя следственного органа, следователя и прокурора в ходе досудебного производства по уголовному делу, а также срок задержания подозреваемого</w:t>
      </w:r>
      <w:r w:rsidR="00535BF4" w:rsidRPr="00535B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25"/>
      </w:tblGrid>
      <w:tr w:rsidR="00535BF4" w:rsidRPr="00535BF4" w14:paraId="5FBAAB83" w14:textId="77777777" w:rsidTr="00535BF4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08F2DAF9" w14:textId="60C2F4FF" w:rsidR="00535BF4" w:rsidRPr="00535BF4" w:rsidRDefault="00535BF4" w:rsidP="00535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314AB">
              <w:rPr>
                <w:noProof/>
              </w:rPr>
              <w:drawing>
                <wp:inline distT="0" distB="0" distL="0" distR="0" wp14:anchorId="0BEB6D4D" wp14:editId="1F5A2826">
                  <wp:extent cx="114300" cy="142875"/>
                  <wp:effectExtent l="0" t="0" r="0" b="9525"/>
                  <wp:docPr id="1" name="Рисунок 1" descr="C:\Users\Kvekveskiri.M.G\AppData\Local\Microsoft\Windows\INetCache\Content.MSO\EE5172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vekveskiri.M.G\AppData\Local\Microsoft\Windows\INetCache\Content.MSO\EE5172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C73149" w14:textId="77777777" w:rsidR="00535BF4" w:rsidRPr="00535BF4" w:rsidRDefault="00535BF4" w:rsidP="00535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B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Федеральный закон от 31.07.2023 N 396-ФЗ</w:t>
            </w:r>
            <w:r w:rsidRPr="00535B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"О внесении изменений в Уголовно-процессуальный кодекс Российской Федерации" </w:t>
            </w:r>
          </w:p>
        </w:tc>
      </w:tr>
    </w:tbl>
    <w:p w14:paraId="1752B34F" w14:textId="77777777" w:rsidR="00535BF4" w:rsidRPr="00535BF4" w:rsidRDefault="00535BF4" w:rsidP="00535B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5B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Закреплен перечень случаев, в которых руководитель следственного органа незамедлительно поручает производство предварительного следствия следователю, а следователь незамедлительно принимает его к своему производству (например, в случаях отмены руководителем следственного органа постановлений следователя о прекращении уголовного дела, приостановлении предварительного следствия или возвращения руководителем следственного органа уголовного дела следователю для производства дополнительного расследования). </w:t>
      </w:r>
    </w:p>
    <w:p w14:paraId="5AB594B2" w14:textId="77777777" w:rsidR="00535BF4" w:rsidRPr="00535BF4" w:rsidRDefault="00535BF4" w:rsidP="00535B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5B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Также срок рассмотрения прокурором уголовного дела, поступившего с обвинительным актом, и принятия по нему решения увеличен с 2 до 5 суток. </w:t>
      </w:r>
    </w:p>
    <w:p w14:paraId="031656F2" w14:textId="77777777" w:rsidR="00535BF4" w:rsidRPr="00535BF4" w:rsidRDefault="00535BF4" w:rsidP="00535B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5B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Кроме того, предусмотрено, что в условиях военного положения задержание лица, подозреваемого в совершении тяжкого или особо тяжкого преступления, осуществляется на срок не более 30 суток. </w:t>
      </w:r>
    </w:p>
    <w:p w14:paraId="0B123312" w14:textId="77777777" w:rsidR="00535BF4" w:rsidRPr="00535BF4" w:rsidRDefault="00535BF4" w:rsidP="00535B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5B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Закон вступает в силу со дня его официального опубликования. </w:t>
      </w:r>
    </w:p>
    <w:p w14:paraId="0C6E5E22" w14:textId="323DC782" w:rsidR="00176413" w:rsidRPr="00C314AB" w:rsidRDefault="00176413"/>
    <w:p w14:paraId="3BC173EF" w14:textId="77777777" w:rsidR="00535BF4" w:rsidRPr="00535BF4" w:rsidRDefault="00535BF4" w:rsidP="00535B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5BF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Разъяснен порядок применения Указа N 95 в отношении иностранных граждан, постоянно проживающих в РФ на основании вида на жительство</w:t>
      </w:r>
      <w:r w:rsidRPr="00535B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25"/>
      </w:tblGrid>
      <w:tr w:rsidR="00535BF4" w:rsidRPr="00535BF4" w14:paraId="028808A8" w14:textId="77777777" w:rsidTr="00535BF4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07897E7B" w14:textId="6FC5F7E3" w:rsidR="00535BF4" w:rsidRPr="00535BF4" w:rsidRDefault="00535BF4" w:rsidP="00535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314AB">
              <w:rPr>
                <w:noProof/>
              </w:rPr>
              <w:drawing>
                <wp:inline distT="0" distB="0" distL="0" distR="0" wp14:anchorId="62D5B65A" wp14:editId="5A39A042">
                  <wp:extent cx="114300" cy="142875"/>
                  <wp:effectExtent l="0" t="0" r="0" b="9525"/>
                  <wp:docPr id="2" name="Рисунок 2" descr="C:\Users\Kvekveskiri.M.G\AppData\Local\Microsoft\Windows\INetCache\Content.MSO\E1AAF98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vekveskiri.M.G\AppData\Local\Microsoft\Windows\INetCache\Content.MSO\E1AAF98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C5E251" w14:textId="77777777" w:rsidR="00535BF4" w:rsidRPr="00535BF4" w:rsidRDefault="00535BF4" w:rsidP="00535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B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&lt;Письмо&gt; Банка России от 21.07.2023 N 38-1-4/2195</w:t>
            </w:r>
            <w:r w:rsidRPr="00535B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"О порядке применения требований Указа N 95 в отношении иностранных граждан с ВНЖ" </w:t>
            </w:r>
          </w:p>
        </w:tc>
      </w:tr>
    </w:tbl>
    <w:p w14:paraId="37C0D698" w14:textId="77777777" w:rsidR="00535BF4" w:rsidRPr="00535BF4" w:rsidRDefault="00535BF4" w:rsidP="00535B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5B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Сообщается, что для целей применения этого Указа такие иностранные граждане не являются иностранными кредиторами, поименованными в пункте 1 данного Указа. В этой связи в случае предоставления в депозитарий документов, подтверждающих приобретение депонентом - иностранным гражданином статуса валютного резидента, ввиду утраты основания для учета прав такого лица на ценные бумаги на соответствующем счете депо типа "С", открытом во исполнение требований Указа N 95 и Решения Совета директоров Банка России от 21.11.2022, депозитарий должен прекратить статус счета депо типа "С" для учета прав на ценные бумаги такого лица. </w:t>
      </w:r>
    </w:p>
    <w:p w14:paraId="7BF55C96" w14:textId="77777777" w:rsidR="00535BF4" w:rsidRPr="00535BF4" w:rsidRDefault="00535BF4" w:rsidP="00535B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5B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Учетные записи депозитария, внесенные в его учетную систему в период, когда он применял к счету депо режим счета типа "С", должны содержать информацию о таком применении. </w:t>
      </w:r>
    </w:p>
    <w:p w14:paraId="0EEDCF65" w14:textId="77777777" w:rsidR="00535BF4" w:rsidRPr="00535BF4" w:rsidRDefault="00535BF4" w:rsidP="00535B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5B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Депозитарий отражает в учетных записях факт прекращения статуса счета депо типа "С" в отношении счета депо депонента с указанием даты такого прекращения при поступлении подтверждающих сведений и документов. </w:t>
      </w:r>
    </w:p>
    <w:p w14:paraId="071B9D26" w14:textId="18C3BF98" w:rsidR="00535BF4" w:rsidRPr="00C314AB" w:rsidRDefault="00535BF4"/>
    <w:p w14:paraId="0F22DA3E" w14:textId="77777777" w:rsidR="00535BF4" w:rsidRPr="00535BF4" w:rsidRDefault="00535BF4" w:rsidP="00535B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5BF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Установлена административная ответственность за невыполнение в установленный срок законного предписания либо предупреждения органа, осуществляющего государственный контроль за соблюдением законодательства РФ об иностранных агентах, об устранении нарушений законодательства</w:t>
      </w:r>
      <w:r w:rsidRPr="00535B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25"/>
      </w:tblGrid>
      <w:tr w:rsidR="00535BF4" w:rsidRPr="00535BF4" w14:paraId="08EE91DB" w14:textId="77777777" w:rsidTr="00535BF4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471B25BC" w14:textId="6A44578B" w:rsidR="00535BF4" w:rsidRPr="00535BF4" w:rsidRDefault="00535BF4" w:rsidP="00535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314AB">
              <w:rPr>
                <w:noProof/>
              </w:rPr>
              <w:drawing>
                <wp:inline distT="0" distB="0" distL="0" distR="0" wp14:anchorId="2A76157B" wp14:editId="3CECFA1F">
                  <wp:extent cx="114300" cy="142875"/>
                  <wp:effectExtent l="0" t="0" r="0" b="9525"/>
                  <wp:docPr id="3" name="Рисунок 3" descr="C:\Users\Kvekveskiri.M.G\AppData\Local\Microsoft\Windows\INetCache\Content.MSO\222CA42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Kvekveskiri.M.G\AppData\Local\Microsoft\Windows\INetCache\Content.MSO\222CA42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837363" w14:textId="77777777" w:rsidR="00535BF4" w:rsidRPr="00535BF4" w:rsidRDefault="00535BF4" w:rsidP="00535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B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Федеральный закон от 24.07.2023 N 364-ФЗ</w:t>
            </w:r>
            <w:r w:rsidRPr="00535B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"О внесении изменений в Кодекс Российской Федерации об административных правонарушениях" </w:t>
            </w:r>
          </w:p>
        </w:tc>
      </w:tr>
    </w:tbl>
    <w:p w14:paraId="435E3FD2" w14:textId="77777777" w:rsidR="00535BF4" w:rsidRPr="00535BF4" w:rsidRDefault="00535BF4" w:rsidP="00535B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5B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Совершение указанного правонарушения влечет наложение административного штрафа: на граждан - в размере от 30 тыс. до 50 тыс. рублей; на должностных лиц - от 70 тыс. до 100 </w:t>
      </w:r>
      <w:r w:rsidRPr="00535B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тыс. рублей или дисквалификацию на срок до двух лет; на юридических лиц - от 200 тыс. до 300 тыс. рублей. </w:t>
      </w:r>
    </w:p>
    <w:p w14:paraId="11C33D26" w14:textId="77777777" w:rsidR="00535BF4" w:rsidRPr="00535BF4" w:rsidRDefault="00535BF4" w:rsidP="00535B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5B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Составлять протоколы об указанных административных правонарушениях будут должностные лица Минюста России. </w:t>
      </w:r>
    </w:p>
    <w:p w14:paraId="2899F513" w14:textId="5ADF58FE" w:rsidR="00535BF4" w:rsidRPr="00C314AB" w:rsidRDefault="00535BF4"/>
    <w:p w14:paraId="4565FEE3" w14:textId="74F0128B" w:rsidR="00535BF4" w:rsidRPr="00C314AB" w:rsidRDefault="00535BF4"/>
    <w:p w14:paraId="0B6EF548" w14:textId="77777777" w:rsidR="00535BF4" w:rsidRPr="00535BF4" w:rsidRDefault="00535BF4" w:rsidP="00535B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5BF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Определены меры по обеспечению сохранности имущества или жилого помещения, остающихся без присмотра на время отбывания наказания осужденным</w:t>
      </w:r>
      <w:r w:rsidRPr="00535B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25"/>
      </w:tblGrid>
      <w:tr w:rsidR="00535BF4" w:rsidRPr="00535BF4" w14:paraId="7EBB428B" w14:textId="77777777" w:rsidTr="00535BF4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3AC492DD" w14:textId="0B9E089B" w:rsidR="00535BF4" w:rsidRPr="00535BF4" w:rsidRDefault="00535BF4" w:rsidP="00535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314AB">
              <w:rPr>
                <w:noProof/>
              </w:rPr>
              <w:drawing>
                <wp:inline distT="0" distB="0" distL="0" distR="0" wp14:anchorId="14BDF895" wp14:editId="2765E8BB">
                  <wp:extent cx="114300" cy="142875"/>
                  <wp:effectExtent l="0" t="0" r="0" b="9525"/>
                  <wp:docPr id="6" name="Рисунок 6" descr="C:\Users\Kvekveskiri.M.G\AppData\Local\Microsoft\Windows\INetCache\Content.MSO\8F69F3C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Kvekveskiri.M.G\AppData\Local\Microsoft\Windows\INetCache\Content.MSO\8F69F3C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42FB9C" w14:textId="77777777" w:rsidR="00535BF4" w:rsidRPr="00535BF4" w:rsidRDefault="00535BF4" w:rsidP="00535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B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Федеральный закон от 10.07.2023 N 320-ФЗ</w:t>
            </w:r>
            <w:r w:rsidRPr="00535B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"О внесении изменений в Уголовно-процессуальный кодекс Российской Федерации" </w:t>
            </w:r>
          </w:p>
        </w:tc>
      </w:tr>
    </w:tbl>
    <w:p w14:paraId="70F4DB82" w14:textId="77777777" w:rsidR="00535BF4" w:rsidRPr="00535BF4" w:rsidRDefault="00535BF4" w:rsidP="00535B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5B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 ходатайству осужденного суд выносит определение или постановление о принятии мер по обеспечению сохранности имущества или жилого помещения, остающихся без присмотра на время отбывания наказания осужденным, при наличии одновременно следующих условий: отсутствие у осужденного возможности самостоятельно обеспечить их сохранность; отсутствие сведений о том, что осужденным самостоятельно приняты достаточные меры по обеспечению их сохранности; отсутствие сведений о том, что в указанном жилом помещении проживают члены семьи осужденного или иные лица, вселенные в указанное жилое помещение на законных основаниях. </w:t>
      </w:r>
    </w:p>
    <w:p w14:paraId="7C9604BB" w14:textId="77777777" w:rsidR="00535BF4" w:rsidRPr="00535BF4" w:rsidRDefault="00535BF4" w:rsidP="00535B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5B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 учетом конкретных обстоятельств суд может наложить запрет на государственную регистрацию перехода права, ограничения права на жилое помещение и его обременения без личного участия осужденного, на регистрацию граждан в указанном жилом помещении по месту пребывания и по месту жительства без личного участия осужденного, а также принять иные меры, необходимые для обеспечения сохранности жилого помещения. </w:t>
      </w:r>
    </w:p>
    <w:p w14:paraId="2240798A" w14:textId="77777777" w:rsidR="00535BF4" w:rsidRPr="00535BF4" w:rsidRDefault="00535BF4" w:rsidP="00535B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5B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Принятые судом меры отменяются по ходатайству осужденного путем вынесения судом определения или постановления. </w:t>
      </w:r>
    </w:p>
    <w:p w14:paraId="1E836380" w14:textId="77777777" w:rsidR="00535BF4" w:rsidRPr="00535BF4" w:rsidRDefault="00535BF4" w:rsidP="00535B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5B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Настоящий Федеральный закон вступает в силу со дня его официального опубликования. </w:t>
      </w:r>
    </w:p>
    <w:p w14:paraId="318CDA1A" w14:textId="77777777" w:rsidR="00535BF4" w:rsidRPr="00535BF4" w:rsidRDefault="00535BF4" w:rsidP="00535B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5B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Изменения, внесенные в УПК РФ (в редакции настоящего Федерального закона) распространяются на отношения, связанные с обеспечением сохранности имущества или жилого помещения, остающихся без присмотра на время отбывания наказания осужденным, возникшие с 13 июля 2020 года. </w:t>
      </w:r>
    </w:p>
    <w:p w14:paraId="0397DE8E" w14:textId="77777777" w:rsidR="00535BF4" w:rsidRPr="00535BF4" w:rsidRDefault="00535BF4" w:rsidP="00535B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5B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441AF85" w14:textId="77777777" w:rsidR="00535BF4" w:rsidRPr="00535BF4" w:rsidRDefault="00535BF4" w:rsidP="00535B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5BF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Установлена уголовная ответственность за незаконную деятельность по возврату просроченной задолженности физических лиц</w:t>
      </w:r>
      <w:r w:rsidRPr="00535B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25"/>
      </w:tblGrid>
      <w:tr w:rsidR="00535BF4" w:rsidRPr="00535BF4" w14:paraId="5E0537EA" w14:textId="77777777" w:rsidTr="00535BF4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16F77B87" w14:textId="5A3E0466" w:rsidR="00535BF4" w:rsidRPr="00535BF4" w:rsidRDefault="00535BF4" w:rsidP="00535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314AB">
              <w:rPr>
                <w:noProof/>
              </w:rPr>
              <w:drawing>
                <wp:inline distT="0" distB="0" distL="0" distR="0" wp14:anchorId="56F625F9" wp14:editId="4C68597E">
                  <wp:extent cx="114300" cy="142875"/>
                  <wp:effectExtent l="0" t="0" r="0" b="9525"/>
                  <wp:docPr id="5" name="Рисунок 5" descr="C:\Users\Kvekveskiri.M.G\AppData\Local\Microsoft\Windows\INetCache\Content.MSO\984D65C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Kvekveskiri.M.G\AppData\Local\Microsoft\Windows\INetCache\Content.MSO\984D65C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4AA769" w14:textId="77777777" w:rsidR="00535BF4" w:rsidRPr="00535BF4" w:rsidRDefault="00535BF4" w:rsidP="00535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B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Федеральный закон от 10.07.2023 N 323-ФЗ</w:t>
            </w:r>
            <w:r w:rsidRPr="00535B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"О внесении изменений в Уголовный кодекс Российской Федерации и статьи 150 и 151 Уголовно-процессуального кодекса Российской Федерации" </w:t>
            </w:r>
          </w:p>
        </w:tc>
      </w:tr>
    </w:tbl>
    <w:p w14:paraId="093F04DF" w14:textId="77777777" w:rsidR="00535BF4" w:rsidRPr="00535BF4" w:rsidRDefault="00535BF4" w:rsidP="00535B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5B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Уголовный кодекс РФ дополнен статьей 172.4, определяющей ответственность за совершение действий, направленных на возврат просроченной задолженности физических лиц и сопряженных с угрозой применения насилия либо уничтожения или повреждения имущества, а равно с угрозой распространения либо распространением заведомо ложных сведений, порочащих честь и достоинство потерпевшего или его близких, лицом, действующим от имени организации-кредитора или в ее интересах, в том числе ее работником, либо лицом, которому переданы права кредитора по договору уступки права (требования), либо лицом, действующим от имени или в интересах лица, которому переданы указанные права. </w:t>
      </w:r>
    </w:p>
    <w:p w14:paraId="51AA91F6" w14:textId="77777777" w:rsidR="00535BF4" w:rsidRPr="00535BF4" w:rsidRDefault="00535BF4" w:rsidP="00535B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5B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Во второй и третьей частях названной статьи приведены отягчающие признаки, предусматривающие повышенную ответственность за совершение указанных деяний. </w:t>
      </w:r>
    </w:p>
    <w:p w14:paraId="17AE77FD" w14:textId="77777777" w:rsidR="00535BF4" w:rsidRPr="00535BF4" w:rsidRDefault="00535BF4" w:rsidP="00535B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5B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Также предусмотрены корреспондирующие изменения в статьи 150 и 151 Уголовно-процессуального кодекса РФ, в соответствии с которыми предварительное расследование по части первой статьи 172.4 УК РФ будет производиться дознавателями органов внутренних дел, а по части второй и третьей - следователями органов внутренних дел. </w:t>
      </w:r>
    </w:p>
    <w:p w14:paraId="1B3DF4C9" w14:textId="77777777" w:rsidR="00535BF4" w:rsidRPr="00535BF4" w:rsidRDefault="00535BF4" w:rsidP="00535B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5B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  </w:t>
      </w:r>
    </w:p>
    <w:p w14:paraId="32E48EA0" w14:textId="77777777" w:rsidR="00535BF4" w:rsidRPr="00535BF4" w:rsidRDefault="00535BF4" w:rsidP="00535B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5BF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Прекращение уголовного преследования по делу частного обвинения в связи с деятельным раскаянием не может служить препятствием для поступления на государственную службу в органы принудительного исполнения, если оно имело место не менее чем за три года до дня поступления на службу в органы принудительного исполнения</w:t>
      </w:r>
      <w:r w:rsidRPr="00535B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25"/>
      </w:tblGrid>
      <w:tr w:rsidR="00535BF4" w:rsidRPr="00535BF4" w14:paraId="15E0A560" w14:textId="77777777" w:rsidTr="00535BF4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05404E2B" w14:textId="05AC7059" w:rsidR="00535BF4" w:rsidRPr="00535BF4" w:rsidRDefault="00535BF4" w:rsidP="00535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314AB">
              <w:rPr>
                <w:noProof/>
              </w:rPr>
              <w:drawing>
                <wp:inline distT="0" distB="0" distL="0" distR="0" wp14:anchorId="3C1BA3FD" wp14:editId="54E238DE">
                  <wp:extent cx="114300" cy="142875"/>
                  <wp:effectExtent l="0" t="0" r="0" b="9525"/>
                  <wp:docPr id="4" name="Рисунок 4" descr="C:\Users\Kvekveskiri.M.G\AppData\Local\Microsoft\Windows\INetCache\Content.MSO\AEBDD3B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Kvekveskiri.M.G\AppData\Local\Microsoft\Windows\INetCache\Content.MSO\AEBDD3B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038A63" w14:textId="77777777" w:rsidR="00535BF4" w:rsidRPr="00535BF4" w:rsidRDefault="00535BF4" w:rsidP="00535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B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Постановление Конституционного Суда РФ от 11.07.2023 N 38-П</w:t>
            </w:r>
            <w:r w:rsidRPr="00535B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"По делу о проверке конституционности пункта 3 части 1 статьи 14, пункта 4 части 4 статьи 17, пункта 7 части 3 статьи 80 и статьи 92 Федерального закона "О службе в органах принудительного исполнения Российской Федерации и внесении изменений в отдельные законодательные акты Российской Федерации" в связи с жалобой гражданина Р.М. Пахомова" </w:t>
            </w:r>
          </w:p>
        </w:tc>
      </w:tr>
    </w:tbl>
    <w:p w14:paraId="66350A32" w14:textId="77777777" w:rsidR="00535BF4" w:rsidRPr="00535BF4" w:rsidRDefault="00535BF4" w:rsidP="00535B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5B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Конституционный Суд РФ признал пункт 4 части 4 статьи 17 Федерального закона "О службе в органах принудительного исполнения Российской Федерации и внесении изменений в отдельные законодательные акты Российской Федерации" не соответствующим Конституции РФ в той мере, в какой он устанавливает безусловный и бессрочный запрет поступления на службу в органы принудительного исполнения для лиц, уголовное преследование которых по делам частного обвинения было прекращено в связи с деятельным раскаянием. </w:t>
      </w:r>
    </w:p>
    <w:p w14:paraId="1BD51475" w14:textId="77777777" w:rsidR="00535BF4" w:rsidRPr="00535BF4" w:rsidRDefault="00535BF4" w:rsidP="00535B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5B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Суд, в частности, отметил, что признание в качестве безусловного препятствия факта прекращения уголовного преследования по делу частного обвинения, но в связи с деятельным раскаянием - т.е. по основанию, для применения которого требуется больший объем позитивных условий (и усилия самого привлекаемого к ответственности лица), чем для тех оснований, которые не запрещают поступление на такую службу и также учитывают возмещение (заглаживание) вреда, - ставит таких лиц в неравное положение с лицами, уголовное преследование которых по делам частного обвинения прекращено по другим </w:t>
      </w:r>
      <w:proofErr w:type="spellStart"/>
      <w:r w:rsidRPr="00535B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нереабилитирующим</w:t>
      </w:r>
      <w:proofErr w:type="spellEnd"/>
      <w:r w:rsidRPr="00535B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основаниям. </w:t>
      </w:r>
    </w:p>
    <w:p w14:paraId="587E7C62" w14:textId="77777777" w:rsidR="00535BF4" w:rsidRPr="00535BF4" w:rsidRDefault="00535BF4" w:rsidP="00535B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5B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Федеральному законодателю надлежит внести в действующее правовое регулирование необходимые изменения, вытекающие из настоящего Постановления. </w:t>
      </w:r>
    </w:p>
    <w:p w14:paraId="07769811" w14:textId="77777777" w:rsidR="00535BF4" w:rsidRPr="00535BF4" w:rsidRDefault="00535BF4" w:rsidP="00535B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5B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90454A9" w14:textId="48BCDE67" w:rsidR="00535BF4" w:rsidRPr="00C314AB" w:rsidRDefault="00535BF4"/>
    <w:p w14:paraId="2CC0D04B" w14:textId="77777777" w:rsidR="00535BF4" w:rsidRPr="00535BF4" w:rsidRDefault="00535BF4" w:rsidP="00535B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5BF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Установлены требования к использованию электронных документов и порядок обмена информацией в электронной форме при осуществлении обязательного страхования гражданской ответственности перевозчика за причинение при перевозках пассажиров вреда их жизни, здоровью, имуществу</w:t>
      </w:r>
      <w:r w:rsidRPr="00535B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25"/>
      </w:tblGrid>
      <w:tr w:rsidR="00535BF4" w:rsidRPr="00535BF4" w14:paraId="7EB6355C" w14:textId="77777777" w:rsidTr="00535BF4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7C039D57" w14:textId="2D5B0A93" w:rsidR="00535BF4" w:rsidRPr="00535BF4" w:rsidRDefault="00535BF4" w:rsidP="00535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314AB">
              <w:rPr>
                <w:noProof/>
              </w:rPr>
              <w:drawing>
                <wp:inline distT="0" distB="0" distL="0" distR="0" wp14:anchorId="7F564C7A" wp14:editId="4C993A36">
                  <wp:extent cx="114300" cy="142875"/>
                  <wp:effectExtent l="0" t="0" r="0" b="9525"/>
                  <wp:docPr id="7" name="Рисунок 7" descr="C:\Users\Kvekveskiri.M.G\AppData\Local\Microsoft\Windows\INetCache\Content.MSO\E4AD32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Kvekveskiri.M.G\AppData\Local\Microsoft\Windows\INetCache\Content.MSO\E4AD32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B8197A" w14:textId="77777777" w:rsidR="00535BF4" w:rsidRPr="00535BF4" w:rsidRDefault="00535BF4" w:rsidP="00535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B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Указание Банка России от 06.04.2023 N 6401-У</w:t>
            </w:r>
            <w:r w:rsidRPr="00535B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"О требованиях к использованию электронных документов и порядке обмена информацией в электронной форме при осуществлении обязательного страхования гражданской ответственности перевозчика за причинение при перевозках пассажиров вреда их жизни, здоровью, имуществу"</w:t>
            </w:r>
            <w:r w:rsidRPr="00535B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Зарегистрировано в Минюсте России 13.07.2023 N 74255. </w:t>
            </w:r>
          </w:p>
        </w:tc>
      </w:tr>
    </w:tbl>
    <w:p w14:paraId="2F29F4AC" w14:textId="77777777" w:rsidR="00535BF4" w:rsidRPr="00535BF4" w:rsidRDefault="00535BF4" w:rsidP="00535B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5B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Реализованы положения Федерального закона от 14.07.2022 N 327-ФЗ "О внесении изменений в отдельные законодательные акты Российской Федерации". </w:t>
      </w:r>
    </w:p>
    <w:p w14:paraId="779C33D6" w14:textId="77777777" w:rsidR="00535BF4" w:rsidRPr="00535BF4" w:rsidRDefault="00535BF4" w:rsidP="00535B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5B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частности, страховщик для обмена информацией в электронной форме при осуществлении доступа к разделам своего сайта, в части обязательного страхования, должен вести сплошную непрерывную регистрацию и хранить в течение одного года определенную информацию о действиях страхователя и выгодоприобретателя, выполняемых с использованием сайта страховщика в соответствии с настоящим Указанием. </w:t>
      </w:r>
    </w:p>
    <w:p w14:paraId="10ACE2D2" w14:textId="18B184E4" w:rsidR="00535BF4" w:rsidRPr="00C314AB" w:rsidRDefault="00535BF4"/>
    <w:p w14:paraId="228D6CD3" w14:textId="77777777" w:rsidR="00535BF4" w:rsidRPr="00535BF4" w:rsidRDefault="00535BF4" w:rsidP="00535B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5BF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Физлица освобождены от уплаты госпошлины в случае оформления нотариальной доверенности при оказании им бесплатной юридической помощи</w:t>
      </w:r>
      <w:r w:rsidRPr="00535B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25"/>
      </w:tblGrid>
      <w:tr w:rsidR="00535BF4" w:rsidRPr="00535BF4" w14:paraId="2BA3CC2C" w14:textId="77777777" w:rsidTr="00535BF4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2694A7E8" w14:textId="19EBDDA2" w:rsidR="00535BF4" w:rsidRPr="00535BF4" w:rsidRDefault="00535BF4" w:rsidP="00535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314AB">
              <w:rPr>
                <w:noProof/>
              </w:rPr>
              <w:lastRenderedPageBreak/>
              <w:drawing>
                <wp:inline distT="0" distB="0" distL="0" distR="0" wp14:anchorId="75C1B018" wp14:editId="5D5ED3B0">
                  <wp:extent cx="114300" cy="142875"/>
                  <wp:effectExtent l="0" t="0" r="0" b="9525"/>
                  <wp:docPr id="8" name="Рисунок 8" descr="C:\Users\Kvekveskiri.M.G\AppData\Local\Microsoft\Windows\INetCache\Content.MSO\D678157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Kvekveskiri.M.G\AppData\Local\Microsoft\Windows\INetCache\Content.MSO\D678157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FA2D2C" w14:textId="77777777" w:rsidR="00535BF4" w:rsidRPr="00535BF4" w:rsidRDefault="00535BF4" w:rsidP="00535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B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Федеральный закон от 10.07.2023 N 300-ФЗ</w:t>
            </w:r>
            <w:r w:rsidRPr="00535B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"О внесении изменения в статью 333.38 части второй Налогового кодекса Российской Федерации" </w:t>
            </w:r>
          </w:p>
        </w:tc>
      </w:tr>
    </w:tbl>
    <w:p w14:paraId="45DC8FFF" w14:textId="77777777" w:rsidR="00535BF4" w:rsidRPr="00535BF4" w:rsidRDefault="00535BF4" w:rsidP="00535B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5B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Законодательством в качестве одной из форм оказания бесплатной юридической помощи предусматривается представительство интересов граждан адвокатами или работниками государственных юридических бюро в судах, государственных органах, органах местного самоуправления и организациях. </w:t>
      </w:r>
    </w:p>
    <w:p w14:paraId="398D0593" w14:textId="77777777" w:rsidR="00535BF4" w:rsidRPr="00535BF4" w:rsidRDefault="00535BF4" w:rsidP="00535B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5B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Бесплатная юридическая помощь оказывается, как правило, социально незащищенным гражданам (категории граждан, имеющих право на получение бесплатной юридической помощи, поименованы в статье 20 Федерального закона от 21.11.2011 N 324-ФЗ). </w:t>
      </w:r>
    </w:p>
    <w:p w14:paraId="721BAD5E" w14:textId="77777777" w:rsidR="00535BF4" w:rsidRPr="00535BF4" w:rsidRDefault="00535BF4" w:rsidP="00535B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5B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Принятым законом предусмотрено освобождение таких лиц от уплаты госпошлины в случае нотариального удостоверения доверенности на представительство их интересов. </w:t>
      </w:r>
    </w:p>
    <w:p w14:paraId="2AD6EE9A" w14:textId="77777777" w:rsidR="00535BF4" w:rsidRPr="00535BF4" w:rsidRDefault="00535BF4" w:rsidP="00535B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5B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Федеральный закон вступает в силу с 1 января 2024 года. </w:t>
      </w:r>
    </w:p>
    <w:p w14:paraId="6D43F059" w14:textId="08A24966" w:rsidR="00535BF4" w:rsidRPr="00C314AB" w:rsidRDefault="00535BF4"/>
    <w:p w14:paraId="149A6C6F" w14:textId="77777777" w:rsidR="00535BF4" w:rsidRPr="00535BF4" w:rsidRDefault="00535BF4" w:rsidP="00535B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5BF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Подписан закон о программе формирования долгосрочных сбережений граждан</w:t>
      </w:r>
      <w:r w:rsidRPr="00535B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25"/>
      </w:tblGrid>
      <w:tr w:rsidR="00535BF4" w:rsidRPr="00535BF4" w14:paraId="356A8898" w14:textId="77777777" w:rsidTr="00535BF4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033E87B0" w14:textId="0A231E7C" w:rsidR="00535BF4" w:rsidRPr="00535BF4" w:rsidRDefault="00535BF4" w:rsidP="00535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314AB">
              <w:rPr>
                <w:noProof/>
              </w:rPr>
              <w:drawing>
                <wp:inline distT="0" distB="0" distL="0" distR="0" wp14:anchorId="457E2D3E" wp14:editId="5DC5D903">
                  <wp:extent cx="114300" cy="142875"/>
                  <wp:effectExtent l="0" t="0" r="0" b="9525"/>
                  <wp:docPr id="9" name="Рисунок 9" descr="C:\Users\Kvekveskiri.M.G\AppData\Local\Microsoft\Windows\INetCache\Content.MSO\7CFFC84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Kvekveskiri.M.G\AppData\Local\Microsoft\Windows\INetCache\Content.MSO\7CFFC84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E8289B" w14:textId="77777777" w:rsidR="00535BF4" w:rsidRPr="00535BF4" w:rsidRDefault="00535BF4" w:rsidP="00535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B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Федеральный закон от 10.07.2023 N 299-ФЗ</w:t>
            </w:r>
            <w:r w:rsidRPr="00535B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"О внесении изменений в отдельные законодательные акты Российской Федерации" </w:t>
            </w:r>
          </w:p>
        </w:tc>
      </w:tr>
    </w:tbl>
    <w:p w14:paraId="5307083C" w14:textId="77777777" w:rsidR="00535BF4" w:rsidRPr="00535BF4" w:rsidRDefault="00535BF4" w:rsidP="00535B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5B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Договор долгосрочных сбережений представляет собой соглашение между негосударственным пенсионным фондом и гражданином, в соответствии с которым гражданин обязуется уплачивать сберегательные взносы в фонд, а фонд обязуется осуществлять выплаты при наступлении оснований для назначения таких выплат. Формироваться сбережения будут в том числе за счет взносов, маткапитала, дополнительного </w:t>
      </w:r>
      <w:proofErr w:type="spellStart"/>
      <w:r w:rsidRPr="00535B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софинансирования</w:t>
      </w:r>
      <w:proofErr w:type="spellEnd"/>
      <w:r w:rsidRPr="00535B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со стороны государства, дохода от инвестирования этих средств. Право на получение периодической выплаты по договору долгосрочных сбережений может быть реализовано при наличии хотя бы одного из следующих условий: достижение возраста 60 лет (для мужчин) или 55 лет (для женщин); истечение 15 лет с наиболее ранней даты заключения договора. </w:t>
      </w:r>
    </w:p>
    <w:p w14:paraId="4FD3B78B" w14:textId="77777777" w:rsidR="00535BF4" w:rsidRPr="00535BF4" w:rsidRDefault="00535BF4" w:rsidP="00535B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5B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Установлены в числе прочего порядок назначения и осуществления выплат по договорам долгосрочных сбережений, требования к фонду, осуществляющему деятельность по формированию долгосрочных сбережений, порядок государственной поддержки их формирования. Предусматривается, что на средства, формируемые гражданами по договорам долгосрочных сбережений, распространяется система гарантирования прав участников пенсионных программ. </w:t>
      </w:r>
    </w:p>
    <w:p w14:paraId="08352FDC" w14:textId="77777777" w:rsidR="00535BF4" w:rsidRPr="00535BF4" w:rsidRDefault="00535BF4" w:rsidP="00535B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5B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Настоящий Федеральный закон вступает в силу с 1 января 2024 года, за исключением отдельных положений, для которых установлен иной срок вступления их в силу. </w:t>
      </w:r>
    </w:p>
    <w:p w14:paraId="54E694B6" w14:textId="00553F16" w:rsidR="00535BF4" w:rsidRPr="00C314AB" w:rsidRDefault="00535BF4"/>
    <w:p w14:paraId="6161DFC5" w14:textId="02D26BED" w:rsidR="00535BF4" w:rsidRPr="00C314AB" w:rsidRDefault="00535BF4"/>
    <w:p w14:paraId="6083E469" w14:textId="77777777" w:rsidR="00535BF4" w:rsidRPr="00535BF4" w:rsidRDefault="00535BF4" w:rsidP="00535B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5BF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С 1 сентября 2024 г. применяются обновленные правила вывода в ремонт и из эксплуатации источников тепловой энергии и тепловых сетей</w:t>
      </w:r>
      <w:r w:rsidRPr="00535B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25"/>
      </w:tblGrid>
      <w:tr w:rsidR="00535BF4" w:rsidRPr="00535BF4" w14:paraId="04C2A24B" w14:textId="77777777" w:rsidTr="00535BF4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3EDE7CCA" w14:textId="456F3BBD" w:rsidR="00535BF4" w:rsidRPr="00535BF4" w:rsidRDefault="00535BF4" w:rsidP="00535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314AB">
              <w:rPr>
                <w:noProof/>
              </w:rPr>
              <w:drawing>
                <wp:inline distT="0" distB="0" distL="0" distR="0" wp14:anchorId="5259F7CA" wp14:editId="3EFB300D">
                  <wp:extent cx="114300" cy="142875"/>
                  <wp:effectExtent l="0" t="0" r="0" b="9525"/>
                  <wp:docPr id="10" name="Рисунок 10" descr="C:\Users\Kvekveskiri.M.G\AppData\Local\Microsoft\Windows\INetCache\Content.MSO\1623F4F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Kvekveskiri.M.G\AppData\Local\Microsoft\Windows\INetCache\Content.MSO\1623F4F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6639C1" w14:textId="77777777" w:rsidR="00535BF4" w:rsidRPr="00535BF4" w:rsidRDefault="00535BF4" w:rsidP="00535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B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Постановление Правительства РФ от 08.07.2023 N 1130</w:t>
            </w:r>
            <w:r w:rsidRPr="00535B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"Об утверждении Правил вывода в ремонт и из эксплуатации источников тепловой энергии и тепловых сетей, признании утратившими силу некоторых актов Правительства Российской Федерации и пункта 7 изменений, которые вносятся в акты Правительства Российской Федерации по вопросу совершенствования порядка вывода объектов электроэнергетики в ремонт и из эксплуатации, утвержденных постановлением Правительства Российской Федерации от 30 января 2021 г. N 86" </w:t>
            </w:r>
          </w:p>
        </w:tc>
      </w:tr>
    </w:tbl>
    <w:p w14:paraId="39D8D06B" w14:textId="77777777" w:rsidR="00535BF4" w:rsidRPr="00535BF4" w:rsidRDefault="00535BF4" w:rsidP="00535B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5B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Правила не распространяются на вывод в ремонт и из эксплуатации источников тепловой энергии и тепловых сетей, которые используются исключительно для нужд их владельцев и с использованием которых не осуществляется теплоснабжение иных потребителей. </w:t>
      </w:r>
    </w:p>
    <w:p w14:paraId="4DC0630D" w14:textId="77777777" w:rsidR="00535BF4" w:rsidRPr="00535BF4" w:rsidRDefault="00535BF4" w:rsidP="00535B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5B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Признается утратившим силу Постановление Правительства РФ от 6 сентября 2012 г. N 889, которым утверждены аналогичные правила, с внесенными в него изменениями. </w:t>
      </w:r>
    </w:p>
    <w:p w14:paraId="68A4BCD1" w14:textId="77777777" w:rsidR="00535BF4" w:rsidRPr="00535BF4" w:rsidRDefault="00535BF4" w:rsidP="00535B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5B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Правила, утвержденные настоящим Постановлением, действуют до 31 августа 2030 г. </w:t>
      </w:r>
    </w:p>
    <w:p w14:paraId="5D831F6A" w14:textId="57539368" w:rsidR="00535BF4" w:rsidRPr="00C314AB" w:rsidRDefault="00535BF4"/>
    <w:p w14:paraId="31EC0967" w14:textId="77777777" w:rsidR="00535BF4" w:rsidRPr="00535BF4" w:rsidRDefault="00535BF4" w:rsidP="00535B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5BF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Оптимизирована процедура переселения граждан в рамках программы реновации</w:t>
      </w:r>
      <w:r w:rsidRPr="00535B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25"/>
      </w:tblGrid>
      <w:tr w:rsidR="00535BF4" w:rsidRPr="00535BF4" w14:paraId="50F9C904" w14:textId="77777777" w:rsidTr="00535BF4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47318471" w14:textId="2FE8BE2E" w:rsidR="00535BF4" w:rsidRPr="00535BF4" w:rsidRDefault="00535BF4" w:rsidP="00535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314AB">
              <w:rPr>
                <w:noProof/>
              </w:rPr>
              <w:drawing>
                <wp:inline distT="0" distB="0" distL="0" distR="0" wp14:anchorId="079D2047" wp14:editId="04A458A1">
                  <wp:extent cx="114300" cy="142875"/>
                  <wp:effectExtent l="0" t="0" r="0" b="9525"/>
                  <wp:docPr id="11" name="Рисунок 11" descr="C:\Users\Kvekveskiri.M.G\AppData\Local\Microsoft\Windows\INetCache\Content.MSO\50E6E11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Kvekveskiri.M.G\AppData\Local\Microsoft\Windows\INetCache\Content.MSO\50E6E11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B2BC97" w14:textId="77777777" w:rsidR="00535BF4" w:rsidRPr="00535BF4" w:rsidRDefault="00535BF4" w:rsidP="00535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B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Федеральный закон от 10.07.2023 N 310-ФЗ</w:t>
            </w:r>
            <w:r w:rsidRPr="00535B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"О внесении изменений в Закон Российской Федерации "О статусе столицы Российской Федерации" и статью 2 Федерального закона "Об особо охраняемых природных территориях" </w:t>
            </w:r>
          </w:p>
        </w:tc>
      </w:tr>
    </w:tbl>
    <w:p w14:paraId="19A18854" w14:textId="77777777" w:rsidR="00535BF4" w:rsidRPr="00535BF4" w:rsidRDefault="00535BF4" w:rsidP="00535B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5B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частности, сокращены сроки: направления заявления в уполномоченный орган исполнительной власти города Москвы, на основании которого вместо предоставляемого в собственность равнозначного жилого помещения собственник вправе получить за освобождаемое жилое помещение равноценное возмещение в денежной форме или путем предоставления равноценного жилого помещения; заключения договора, предусматривающего переход права собственности на жилое помещение в многоквартирном доме, включенном в программу реновации. </w:t>
      </w:r>
    </w:p>
    <w:p w14:paraId="64F7CB3E" w14:textId="77777777" w:rsidR="00535BF4" w:rsidRPr="00535BF4" w:rsidRDefault="00535BF4" w:rsidP="00535B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5B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Кроме того, спор о размере подлежащих возмещению стоимости изымаемого недвижимого имущества и (или) убытков, причиненных таким изъятием, будет рассматриваться судом отдельно от спора об изъятии недвижимого имущества. Судом также будет устанавливаться размер компенсации на основании отчета об оценке изымаемых объектов недвижимого имущества и (или) причиненных таким изъятием убытков. </w:t>
      </w:r>
    </w:p>
    <w:p w14:paraId="113CE35E" w14:textId="77777777" w:rsidR="00535BF4" w:rsidRPr="00535BF4" w:rsidRDefault="00535BF4" w:rsidP="00535B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5B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Закон вступает в силу со дня его официального опубликования. </w:t>
      </w:r>
    </w:p>
    <w:p w14:paraId="3C4ADD24" w14:textId="0ED4AC34" w:rsidR="00535BF4" w:rsidRPr="00C314AB" w:rsidRDefault="00535BF4"/>
    <w:p w14:paraId="546D3733" w14:textId="77777777" w:rsidR="00535BF4" w:rsidRPr="00535BF4" w:rsidRDefault="00535BF4" w:rsidP="00535B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5BF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Принят закон о гаражных объединениях</w:t>
      </w:r>
      <w:r w:rsidRPr="00535B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25"/>
      </w:tblGrid>
      <w:tr w:rsidR="00535BF4" w:rsidRPr="00535BF4" w14:paraId="12B3A667" w14:textId="77777777" w:rsidTr="00535BF4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7CEB7B9C" w14:textId="7AFC3A96" w:rsidR="00535BF4" w:rsidRPr="00535BF4" w:rsidRDefault="00535BF4" w:rsidP="00535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314AB">
              <w:rPr>
                <w:noProof/>
              </w:rPr>
              <w:drawing>
                <wp:inline distT="0" distB="0" distL="0" distR="0" wp14:anchorId="137396CF" wp14:editId="219F6541">
                  <wp:extent cx="114300" cy="142875"/>
                  <wp:effectExtent l="0" t="0" r="0" b="9525"/>
                  <wp:docPr id="12" name="Рисунок 12" descr="C:\Users\Kvekveskiri.M.G\AppData\Local\Microsoft\Windows\INetCache\Content.MSO\3AC26E3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Kvekveskiri.M.G\AppData\Local\Microsoft\Windows\INetCache\Content.MSO\3AC26E3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F218F0" w14:textId="77777777" w:rsidR="00535BF4" w:rsidRPr="00535BF4" w:rsidRDefault="00535BF4" w:rsidP="00535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B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Проект Федерального закона N 1192708-7 "О гаражных объединениях и о внесении изменений в отдельные законодательные акты Российской Федерации" (окончательная ред., принятая ГД ФС РФ 13.07.2023) </w:t>
            </w:r>
          </w:p>
        </w:tc>
      </w:tr>
    </w:tbl>
    <w:p w14:paraId="11037099" w14:textId="77777777" w:rsidR="00535BF4" w:rsidRPr="00535BF4" w:rsidRDefault="00535BF4" w:rsidP="00535B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5B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частности, документом вводятся такие понятия, как гаражный комплекс, гараж и территория гаражного назначения. </w:t>
      </w:r>
    </w:p>
    <w:p w14:paraId="4C035361" w14:textId="77777777" w:rsidR="00535BF4" w:rsidRPr="00535BF4" w:rsidRDefault="00535BF4" w:rsidP="00535B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5B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Закреплены положения о праве общей долевой собственности собственников гаражей на общее имущество в границах территории гаражного назначения, и определен состав общего имущества в границах территории гаражного назначения. Также установлены право общей долевой собственности собственников </w:t>
      </w:r>
      <w:proofErr w:type="spellStart"/>
      <w:r w:rsidRPr="00535B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машино</w:t>
      </w:r>
      <w:proofErr w:type="spellEnd"/>
      <w:r w:rsidRPr="00535B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-мест, нежилых помещений на общее имущество в гаражном комплексе и состав общего имущества в гаражном комплексе. </w:t>
      </w:r>
    </w:p>
    <w:p w14:paraId="36A29A1D" w14:textId="77777777" w:rsidR="00535BF4" w:rsidRPr="00535BF4" w:rsidRDefault="00535BF4" w:rsidP="00535B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5B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 общему имуществу в границах территории гаражного назначения относятся в том числе объекты, предназначенные для общего пользования и составляющие общую инфраструктуру территории гаражного назначения (пешеходные переходы, ворота, ограждения, котельные, технические площадки и площадки для размещения контейнеров для сбора твердых коммунальных отходов). К общему имуществу в гаражном комплексе - технические этажи, чердаки, технические подвалы, лестничные площадки, лестницы, лифты, лифтовые и иные шахты, коридоры и др. </w:t>
      </w:r>
    </w:p>
    <w:p w14:paraId="16FF1744" w14:textId="77777777" w:rsidR="00535BF4" w:rsidRPr="00535BF4" w:rsidRDefault="00535BF4" w:rsidP="00535B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5B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Документом определены особенности управления общим имуществом в границах территории гаражного назначения и в гаражном комплексе, проведения общего собрания собственников гаражей и общего собрания собственников </w:t>
      </w:r>
      <w:proofErr w:type="spellStart"/>
      <w:r w:rsidRPr="00535B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машино</w:t>
      </w:r>
      <w:proofErr w:type="spellEnd"/>
      <w:r w:rsidRPr="00535B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-мест, а также вопросы, относящиеся к их компетенции. </w:t>
      </w:r>
    </w:p>
    <w:p w14:paraId="532C3F2E" w14:textId="77777777" w:rsidR="00535BF4" w:rsidRPr="00535BF4" w:rsidRDefault="00535BF4" w:rsidP="00535B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5B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Предусмотрено, что в целях совместного владения, пользования и распоряжения имуществом, находящимся в общей собственности или в общем пользовании собственников гаражей в границах территории гаражного назначения, либо собственников </w:t>
      </w:r>
      <w:proofErr w:type="spellStart"/>
      <w:r w:rsidRPr="00535B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машино</w:t>
      </w:r>
      <w:proofErr w:type="spellEnd"/>
      <w:r w:rsidRPr="00535B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-мест, нежилых помещений, расположенных в гаражных комплексах, совместного управления таким имуществом и обеспечения его содержания создаются товарищества собственников недвижимости. </w:t>
      </w:r>
    </w:p>
    <w:p w14:paraId="0FDEF0EE" w14:textId="396093BD" w:rsidR="00535BF4" w:rsidRPr="00C314AB" w:rsidRDefault="00535BF4"/>
    <w:p w14:paraId="30FC0CA0" w14:textId="77777777" w:rsidR="00535BF4" w:rsidRPr="00535BF4" w:rsidRDefault="00535BF4" w:rsidP="00535B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5BF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Разъяснены особенности управления ЖСК многоквартирным домом</w:t>
      </w:r>
      <w:r w:rsidRPr="00535B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25"/>
      </w:tblGrid>
      <w:tr w:rsidR="00535BF4" w:rsidRPr="00535BF4" w14:paraId="3057D7CB" w14:textId="77777777" w:rsidTr="00535BF4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507D2F4A" w14:textId="75A35EF9" w:rsidR="00535BF4" w:rsidRPr="00535BF4" w:rsidRDefault="00535BF4" w:rsidP="00535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314AB">
              <w:rPr>
                <w:noProof/>
              </w:rPr>
              <w:drawing>
                <wp:inline distT="0" distB="0" distL="0" distR="0" wp14:anchorId="06CE3CB8" wp14:editId="5F630AD4">
                  <wp:extent cx="114300" cy="142875"/>
                  <wp:effectExtent l="0" t="0" r="0" b="9525"/>
                  <wp:docPr id="13" name="Рисунок 13" descr="C:\Users\Kvekveskiri.M.G\AppData\Local\Microsoft\Windows\INetCache\Content.MSO\5A3679B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Kvekveskiri.M.G\AppData\Local\Microsoft\Windows\INetCache\Content.MSO\5A3679B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8C0990" w14:textId="77777777" w:rsidR="00535BF4" w:rsidRPr="00535BF4" w:rsidRDefault="00535BF4" w:rsidP="00535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B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&lt;Письмо&gt; Минстроя России от 30.05.2023 N 14916-ОГ/00</w:t>
            </w:r>
            <w:r w:rsidRPr="00535B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&lt;О праве ЖСК на управление многоквартирным домом&gt; </w:t>
            </w:r>
          </w:p>
        </w:tc>
      </w:tr>
    </w:tbl>
    <w:p w14:paraId="34FE519A" w14:textId="77777777" w:rsidR="00535BF4" w:rsidRPr="00535BF4" w:rsidRDefault="00535BF4" w:rsidP="00535B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5B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Сообщается, в частности, что ЖСК может осуществлять деятельность по управлению МКД именно в качестве ЖСК при обязательном соблюдении следующих условий: </w:t>
      </w:r>
    </w:p>
    <w:p w14:paraId="1B8D4608" w14:textId="77777777" w:rsidR="00535BF4" w:rsidRPr="00535BF4" w:rsidRDefault="00535BF4" w:rsidP="00535B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5B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указанный ЖСК осуществил строительство указанного МКД; </w:t>
      </w:r>
    </w:p>
    <w:p w14:paraId="15C46684" w14:textId="77777777" w:rsidR="00535BF4" w:rsidRPr="00535BF4" w:rsidRDefault="00535BF4" w:rsidP="00535B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5B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члены ЖСК, учредившие ЖСК, выплачивают (или уже выплатили) паевые взносы в установленном размере. При этом на период выплаты паевого взноса члену ЖСК предоставляется помещение в МКД, построенном ЖСК, а после полной выплаты паевого взноса у члена ЖСК возникает право собственности на указанное помещение в МКД. </w:t>
      </w:r>
    </w:p>
    <w:p w14:paraId="2A9DA5FA" w14:textId="77777777" w:rsidR="00535BF4" w:rsidRPr="00535BF4" w:rsidRDefault="00535BF4" w:rsidP="00535B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5B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Отмечается, что право собственников помещений в МКД на выбор способа управления ЖСК и выбор конкретного ЖСК в качестве лица, осуществляющего управление МКД, не может возникнуть в случае, если указанный ЖСК не осуществлял строительство указанного МКД. Право ЖСК на осуществление в качестве именно ЖСК деятельности по управлению МКД, строительство которого указанный ЖСК не осуществлял, возникнуть не может. </w:t>
      </w:r>
    </w:p>
    <w:p w14:paraId="49108E41" w14:textId="177F6F3F" w:rsidR="00535BF4" w:rsidRPr="00C314AB" w:rsidRDefault="00535BF4"/>
    <w:p w14:paraId="1A60E6A9" w14:textId="77777777" w:rsidR="00535BF4" w:rsidRPr="00535BF4" w:rsidRDefault="00535BF4" w:rsidP="00535B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5BF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Минстроем рассмотрены отдельные вопросы управления многоквартирным домом</w:t>
      </w:r>
      <w:r w:rsidRPr="00535B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25"/>
      </w:tblGrid>
      <w:tr w:rsidR="00535BF4" w:rsidRPr="00535BF4" w14:paraId="1683AC97" w14:textId="77777777" w:rsidTr="00535BF4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127D8E48" w14:textId="50D5EA0F" w:rsidR="00535BF4" w:rsidRPr="00535BF4" w:rsidRDefault="00535BF4" w:rsidP="00535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314AB">
              <w:rPr>
                <w:noProof/>
              </w:rPr>
              <w:drawing>
                <wp:inline distT="0" distB="0" distL="0" distR="0" wp14:anchorId="4B471C51" wp14:editId="5C9B6747">
                  <wp:extent cx="114300" cy="142875"/>
                  <wp:effectExtent l="0" t="0" r="0" b="9525"/>
                  <wp:docPr id="16" name="Рисунок 16" descr="C:\Users\Kvekveskiri.M.G\AppData\Local\Microsoft\Windows\INetCache\Content.MSO\61463D2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Kvekveskiri.M.G\AppData\Local\Microsoft\Windows\INetCache\Content.MSO\61463D2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C80C10" w14:textId="77777777" w:rsidR="00535BF4" w:rsidRPr="00535BF4" w:rsidRDefault="00535BF4" w:rsidP="00535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B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&lt;Письмо&gt; Минстроя России от 15.06.2023 N 16419-ОГ/00</w:t>
            </w:r>
            <w:r w:rsidRPr="00535B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&lt;О вопросах управления многоквартирным домом&gt; </w:t>
            </w:r>
          </w:p>
        </w:tc>
      </w:tr>
    </w:tbl>
    <w:p w14:paraId="5480CA30" w14:textId="77777777" w:rsidR="00535BF4" w:rsidRPr="00535BF4" w:rsidRDefault="00535BF4" w:rsidP="00535B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5B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Даны разъяснения об отнесении к общему имуществу, использовании и содержании домофона, как оборудования, находящегося в многоквартирном доме и обслуживающего более одного помещения, а также о проведении общего собрания по вопросу, предусмотренному пунктом 4.6 части 2 статьи 44 ЖК РФ. </w:t>
      </w:r>
    </w:p>
    <w:p w14:paraId="6BD96927" w14:textId="77777777" w:rsidR="00535BF4" w:rsidRPr="00535BF4" w:rsidRDefault="00535BF4" w:rsidP="00535B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5B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EA3F595" w14:textId="77777777" w:rsidR="00535BF4" w:rsidRPr="00535BF4" w:rsidRDefault="00535BF4" w:rsidP="00535B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5BF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Разъяснены особенности непосредственного управления многоквартирным домом собственниками помещений в многоквартирном доме</w:t>
      </w:r>
      <w:r w:rsidRPr="00535B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25"/>
      </w:tblGrid>
      <w:tr w:rsidR="00535BF4" w:rsidRPr="00535BF4" w14:paraId="1DE63B43" w14:textId="77777777" w:rsidTr="00535BF4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431104B5" w14:textId="5C85DAAD" w:rsidR="00535BF4" w:rsidRPr="00535BF4" w:rsidRDefault="00535BF4" w:rsidP="00535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314AB">
              <w:rPr>
                <w:noProof/>
              </w:rPr>
              <w:drawing>
                <wp:inline distT="0" distB="0" distL="0" distR="0" wp14:anchorId="021630B0" wp14:editId="0C84C4FD">
                  <wp:extent cx="114300" cy="142875"/>
                  <wp:effectExtent l="0" t="0" r="0" b="9525"/>
                  <wp:docPr id="15" name="Рисунок 15" descr="C:\Users\Kvekveskiri.M.G\AppData\Local\Microsoft\Windows\INetCache\Content.MSO\10BCAE1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Kvekveskiri.M.G\AppData\Local\Microsoft\Windows\INetCache\Content.MSO\10BCAE1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EE7AB4" w14:textId="77777777" w:rsidR="00535BF4" w:rsidRPr="00535BF4" w:rsidRDefault="00535BF4" w:rsidP="00535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B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&lt;Письмо&gt; Минстроя России от 04.07.2023 N 18184-ОГ/00</w:t>
            </w:r>
            <w:r w:rsidRPr="00535B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&lt;По вопросу управления МКД&gt; </w:t>
            </w:r>
          </w:p>
        </w:tc>
      </w:tr>
    </w:tbl>
    <w:p w14:paraId="247C3429" w14:textId="77777777" w:rsidR="00535BF4" w:rsidRPr="00535BF4" w:rsidRDefault="00535BF4" w:rsidP="00535B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5B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Сообщается, в частности, что при непосредственном управлении многоквартирным домом собственники помещений в таком доме самостоятельно не производят какие-либо работы по содержанию и (или) текущему ремонту общего имущества в таком доме, а заключают договоры на проведение таких работ с лицами, осуществляющими соответствующие виды деятельности. При этом собственники имеют право заключать договоры с несколькими лицами (например, в целях определения различных ответственных лиц за выполнение различных видов работ), при этом ни одно из указанных лиц не будет иметь статуса организации, управляющей указанным многоквартирным домом. </w:t>
      </w:r>
    </w:p>
    <w:p w14:paraId="4BE9D2EC" w14:textId="77777777" w:rsidR="00535BF4" w:rsidRPr="00535BF4" w:rsidRDefault="00535BF4" w:rsidP="00535B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5B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Лицо, оказывающее все виды услуг и выполняющее все виды работ по содержанию и текущему ремонту общего имущества в многоквартирном доме при непосредственном управлении многоквартирным домом, также не является управляющей организацией в отношении такого дома. Договор между таким лицом и собственниками помещений в многоквартирном доме, выбравшими непосредственное управление домом, договором управления не является. </w:t>
      </w:r>
    </w:p>
    <w:p w14:paraId="644D9341" w14:textId="77777777" w:rsidR="00535BF4" w:rsidRPr="00535BF4" w:rsidRDefault="00535BF4" w:rsidP="00535B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5B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F17178E" w14:textId="77777777" w:rsidR="00535BF4" w:rsidRPr="00535BF4" w:rsidRDefault="00535BF4" w:rsidP="00535B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5BF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Рассмотрен вопрос о порядке перерасчета платы за коммунальную услугу по обращению с ТКО</w:t>
      </w:r>
      <w:r w:rsidRPr="00535B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25"/>
      </w:tblGrid>
      <w:tr w:rsidR="00535BF4" w:rsidRPr="00535BF4" w14:paraId="12E3C7CC" w14:textId="77777777" w:rsidTr="00535BF4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03EF6E7E" w14:textId="2DAB3D79" w:rsidR="00535BF4" w:rsidRPr="00535BF4" w:rsidRDefault="00535BF4" w:rsidP="00535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314AB">
              <w:rPr>
                <w:noProof/>
              </w:rPr>
              <w:drawing>
                <wp:inline distT="0" distB="0" distL="0" distR="0" wp14:anchorId="2856860A" wp14:editId="3A0A0694">
                  <wp:extent cx="114300" cy="142875"/>
                  <wp:effectExtent l="0" t="0" r="0" b="9525"/>
                  <wp:docPr id="14" name="Рисунок 14" descr="C:\Users\Kvekveskiri.M.G\AppData\Local\Microsoft\Windows\INetCache\Content.MSO\D2CFDDE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Kvekveskiri.M.G\AppData\Local\Microsoft\Windows\INetCache\Content.MSO\D2CFDDE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6E8B54" w14:textId="77777777" w:rsidR="00535BF4" w:rsidRPr="00535BF4" w:rsidRDefault="00535BF4" w:rsidP="00535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B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&lt;Письмо&gt; Минстроя России от 18.07.2023 N 19405-ОГ/00</w:t>
            </w:r>
            <w:r w:rsidRPr="00535B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&lt;О перерасчете размера платы за коммунальную услугу по обращению с ТКО&gt; </w:t>
            </w:r>
          </w:p>
        </w:tc>
      </w:tr>
    </w:tbl>
    <w:p w14:paraId="47748C04" w14:textId="77777777" w:rsidR="00535BF4" w:rsidRPr="00535BF4" w:rsidRDefault="00535BF4" w:rsidP="00535B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5B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Сообщается, что с 01.03.2023 при предоставлении письменного заявления потребителя о перерасчете, поданного до начала периода его временного отсутствия или не позднее 30 </w:t>
      </w:r>
      <w:r w:rsidRPr="00535B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дней после окончания такого периода, и документов, подтверждающих его продолжительность (авиа- и ж/д билеты, туристические путевки, справки, подтверждающие нахождение потребителя на территории СНТ, больничные справки и др.), должен проводиться перерасчет таким потребителям в жилых помещениях, а также в занимаемых комнатах в коммунальной квартире. </w:t>
      </w:r>
    </w:p>
    <w:p w14:paraId="5D2C440D" w14:textId="77777777" w:rsidR="00535BF4" w:rsidRPr="00535BF4" w:rsidRDefault="00535BF4" w:rsidP="00535B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5B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716BD81" w14:textId="77777777" w:rsidR="00535BF4" w:rsidRPr="00535BF4" w:rsidRDefault="00535BF4" w:rsidP="00535B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5BF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Минтрудом утверждена форма справки о среднем заработке, исчисленном работодателем</w:t>
      </w:r>
      <w:r w:rsidRPr="00535B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25"/>
      </w:tblGrid>
      <w:tr w:rsidR="00535BF4" w:rsidRPr="00535BF4" w14:paraId="13BDC2C7" w14:textId="77777777" w:rsidTr="00535BF4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4E70CA4A" w14:textId="052E56CA" w:rsidR="00535BF4" w:rsidRPr="00535BF4" w:rsidRDefault="00535BF4" w:rsidP="00535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314AB">
              <w:rPr>
                <w:noProof/>
              </w:rPr>
              <w:drawing>
                <wp:inline distT="0" distB="0" distL="0" distR="0" wp14:anchorId="5B222503" wp14:editId="1A1A7CB1">
                  <wp:extent cx="114300" cy="142875"/>
                  <wp:effectExtent l="0" t="0" r="0" b="9525"/>
                  <wp:docPr id="18" name="Рисунок 18" descr="C:\Users\Kvekveskiri.M.G\AppData\Local\Microsoft\Windows\INetCache\Content.MSO\877B5A3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Users\Kvekveskiri.M.G\AppData\Local\Microsoft\Windows\INetCache\Content.MSO\877B5A3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0D5D36" w14:textId="77777777" w:rsidR="00535BF4" w:rsidRPr="00535BF4" w:rsidRDefault="00535BF4" w:rsidP="00535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B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Приказ Минтруда России от 27.07.2023 N 604н</w:t>
            </w:r>
            <w:r w:rsidRPr="00535B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"Об утверждении формы справки о среднем заработке, исчисленном работодателем"</w:t>
            </w:r>
            <w:r w:rsidRPr="00535B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Зарегистрировано в Минюсте России 29.08.2023 N 74993. </w:t>
            </w:r>
          </w:p>
        </w:tc>
      </w:tr>
    </w:tbl>
    <w:p w14:paraId="71E5FDD1" w14:textId="77777777" w:rsidR="00535BF4" w:rsidRPr="00535BF4" w:rsidRDefault="00535BF4" w:rsidP="00535B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5B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Форма указанной справки утверждена в соответствии с абзацем пятым пункта 20 Правил регистрации граждан в целях поиска подходящей работы, утвержденных постановлением Правительства от 2 ноября 2021 года N 1909. </w:t>
      </w:r>
    </w:p>
    <w:p w14:paraId="1F473D9A" w14:textId="77777777" w:rsidR="00535BF4" w:rsidRPr="00535BF4" w:rsidRDefault="00535BF4" w:rsidP="00535B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5B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Гражданин лично предоставляет в центр занятости населения такую справку, в частности, в следующих случаях: гражданин находился в отпуске по беременности и родам и (или) в отпуске по уходу за ребенком в течение 12 календарных месяцев, предшествовавших месяцу увольнения; гражданин уволен с военной службы по призыву; у гражданина отсутствовал доход (сведения о доходе) или хотя бы один полностью отработанный календарный месяц в пределах 12 календарных месяцев, предшествовавших месяцу увольнения, и др. </w:t>
      </w:r>
    </w:p>
    <w:p w14:paraId="0B130E65" w14:textId="77777777" w:rsidR="00535BF4" w:rsidRPr="00535BF4" w:rsidRDefault="00535BF4" w:rsidP="00535B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5B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51BFD2C" w14:textId="77777777" w:rsidR="00535BF4" w:rsidRPr="00535BF4" w:rsidRDefault="00535BF4" w:rsidP="00535B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5BF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Минтрудом утвержден примерный порядок организации социальной занятости инвалидов</w:t>
      </w:r>
      <w:r w:rsidRPr="00535B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25"/>
      </w:tblGrid>
      <w:tr w:rsidR="00535BF4" w:rsidRPr="00535BF4" w14:paraId="08596E58" w14:textId="77777777" w:rsidTr="00535BF4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4DCC81EF" w14:textId="294385C3" w:rsidR="00535BF4" w:rsidRPr="00535BF4" w:rsidRDefault="00535BF4" w:rsidP="00535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314AB">
              <w:rPr>
                <w:noProof/>
              </w:rPr>
              <w:drawing>
                <wp:inline distT="0" distB="0" distL="0" distR="0" wp14:anchorId="47F2C259" wp14:editId="4F527446">
                  <wp:extent cx="114300" cy="142875"/>
                  <wp:effectExtent l="0" t="0" r="0" b="9525"/>
                  <wp:docPr id="17" name="Рисунок 17" descr="C:\Users\Kvekveskiri.M.G\AppData\Local\Microsoft\Windows\INetCache\Content.MSO\E6A98C6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Users\Kvekveskiri.M.G\AppData\Local\Microsoft\Windows\INetCache\Content.MSO\E6A98C6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A19EE4" w14:textId="77777777" w:rsidR="00535BF4" w:rsidRPr="00535BF4" w:rsidRDefault="00535BF4" w:rsidP="00535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B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Приказ Минтруда России от 28.07.2023 N 605н</w:t>
            </w:r>
            <w:r w:rsidRPr="00535B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"Об утверждении примерного порядка организации социальной занятости инвалидов"</w:t>
            </w:r>
            <w:r w:rsidRPr="00535B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Зарегистрировано в Минюсте России 28.08.2023 N 74979. </w:t>
            </w:r>
          </w:p>
        </w:tc>
      </w:tr>
    </w:tbl>
    <w:p w14:paraId="69EACD74" w14:textId="77777777" w:rsidR="00535BF4" w:rsidRPr="00535BF4" w:rsidRDefault="00535BF4" w:rsidP="00535B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5B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Документ устанавливает правила организации в регионах социальной занятости инвалидов, не занятых в связи с имеющимися значительно выраженными ограничениями способности к трудовой деятельности и способных к осуществлению несложных видов деятельности исключительно с помощью других лиц. </w:t>
      </w:r>
    </w:p>
    <w:p w14:paraId="6FD8D0C7" w14:textId="77777777" w:rsidR="00535BF4" w:rsidRPr="00535BF4" w:rsidRDefault="00535BF4" w:rsidP="00535B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5B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Закреплено, что социальная занятость инвалидов трудоспособного возраста не предполагает осуществление ими трудовой деятельности, она направлена на социальную адаптацию и вовлеченность инвалидов в жизнь общества и осуществляется с их согласия на возмездной или безвозмездной основе. </w:t>
      </w:r>
    </w:p>
    <w:p w14:paraId="0EDB6FDF" w14:textId="5DC445F9" w:rsidR="00535BF4" w:rsidRPr="00C314AB" w:rsidRDefault="00535BF4"/>
    <w:p w14:paraId="718BFBCF" w14:textId="77777777" w:rsidR="00535BF4" w:rsidRPr="00535BF4" w:rsidRDefault="00535BF4" w:rsidP="00535B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5BF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IT-специалисты в возрасте до 35 лет включительно смогут получить льготный ипотечный кредит по ставке до 5% годовых без учета требований к размеру заработной платы</w:t>
      </w:r>
      <w:r w:rsidRPr="00535B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25"/>
      </w:tblGrid>
      <w:tr w:rsidR="00535BF4" w:rsidRPr="00535BF4" w14:paraId="3B41A5FB" w14:textId="77777777" w:rsidTr="00535BF4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22482305" w14:textId="5179B122" w:rsidR="00535BF4" w:rsidRPr="00535BF4" w:rsidRDefault="00535BF4" w:rsidP="00535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314AB">
              <w:rPr>
                <w:noProof/>
              </w:rPr>
              <w:drawing>
                <wp:inline distT="0" distB="0" distL="0" distR="0" wp14:anchorId="39B1B57B" wp14:editId="6055AA78">
                  <wp:extent cx="114300" cy="142875"/>
                  <wp:effectExtent l="0" t="0" r="0" b="9525"/>
                  <wp:docPr id="19" name="Рисунок 19" descr="C:\Users\Kvekveskiri.M.G\AppData\Local\Microsoft\Windows\INetCache\Content.MSO\2C041A0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Kvekveskiri.M.G\AppData\Local\Microsoft\Windows\INetCache\Content.MSO\2C041A0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74432B" w14:textId="77777777" w:rsidR="00535BF4" w:rsidRPr="00535BF4" w:rsidRDefault="00535BF4" w:rsidP="00535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B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Постановление Правительства РФ от 31.08.2023 N 1411</w:t>
            </w:r>
            <w:r w:rsidRPr="00535B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"О внесении изменений в некоторые акты Правительства Российской Федерации и о приостановлении действия отдельных положений некоторых актов Правительства Российской Федерации по вопросам жилищного (ипотечного) кредитования граждан Российской Федерации" </w:t>
            </w:r>
          </w:p>
        </w:tc>
      </w:tr>
    </w:tbl>
    <w:p w14:paraId="60897476" w14:textId="77777777" w:rsidR="00535BF4" w:rsidRPr="00535BF4" w:rsidRDefault="00535BF4" w:rsidP="00535B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5B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Ранее требования к минимальному размеру заработной платы (150 тыс. рублей в Москве, 120 тыс. рублей в крупных городах, 70 тыс. рублей в остальных местностях) распространялись на всех заемщиков в возрасте до 50 лет включительно. </w:t>
      </w:r>
    </w:p>
    <w:p w14:paraId="1445AA63" w14:textId="77777777" w:rsidR="00535BF4" w:rsidRPr="00535BF4" w:rsidRDefault="00535BF4" w:rsidP="00535B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5B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Теперь постановлением закреплено, что требования к уровню заработной платы заемщика продолжают действовать только для лиц в возрасте от 36 до 50 лет (включительно). </w:t>
      </w:r>
    </w:p>
    <w:p w14:paraId="4FA6516F" w14:textId="77777777" w:rsidR="00535BF4" w:rsidRPr="00535BF4" w:rsidRDefault="00535BF4" w:rsidP="00535B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5B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Также документом вносятся изменения в правила предоставления акционерному обществу "ДОМ.РФ" субсидий из федерального бюджета на компенсацию кредитным организациям недополученных доходов по ипотечным кредитам, выданным в рамках ряда иных ипотечных программ. </w:t>
      </w:r>
    </w:p>
    <w:p w14:paraId="4DBD5580" w14:textId="448D42A3" w:rsidR="00535BF4" w:rsidRPr="00C314AB" w:rsidRDefault="00535BF4"/>
    <w:p w14:paraId="73B83AC2" w14:textId="77777777" w:rsidR="00535BF4" w:rsidRPr="00535BF4" w:rsidRDefault="00535BF4" w:rsidP="00535B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5BF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lastRenderedPageBreak/>
        <w:t>По 31 декабря 2023 года не будет ограничиваться полная стоимость кредита по потребительским кредитам и отдельным видам займов</w:t>
      </w:r>
      <w:r w:rsidRPr="00535B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25"/>
      </w:tblGrid>
      <w:tr w:rsidR="00535BF4" w:rsidRPr="00535BF4" w14:paraId="50FAB42C" w14:textId="77777777" w:rsidTr="00535BF4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7DB30B80" w14:textId="01920A63" w:rsidR="00535BF4" w:rsidRPr="00535BF4" w:rsidRDefault="00535BF4" w:rsidP="00535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314AB">
              <w:rPr>
                <w:noProof/>
              </w:rPr>
              <w:drawing>
                <wp:inline distT="0" distB="0" distL="0" distR="0" wp14:anchorId="53EAD9F4" wp14:editId="415F56CF">
                  <wp:extent cx="114300" cy="142875"/>
                  <wp:effectExtent l="0" t="0" r="0" b="9525"/>
                  <wp:docPr id="20" name="Рисунок 20" descr="C:\Users\Kvekveskiri.M.G\AppData\Local\Microsoft\Windows\INetCache\Content.MSO\660344A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:\Users\Kvekveskiri.M.G\AppData\Local\Microsoft\Windows\INetCache\Content.MSO\660344A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CD2469" w14:textId="77777777" w:rsidR="00535BF4" w:rsidRPr="00535BF4" w:rsidRDefault="00535BF4" w:rsidP="00535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B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Информационное сообщение Банка России от 16.08.2023</w:t>
            </w:r>
            <w:r w:rsidRPr="00535B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"Банк России отменяет ограничение к ПСК по потребительским кредитам и отдельным видам займов до конца 2023 года" </w:t>
            </w:r>
          </w:p>
        </w:tc>
      </w:tr>
    </w:tbl>
    <w:p w14:paraId="3CDEE8A2" w14:textId="77777777" w:rsidR="00535BF4" w:rsidRPr="00535BF4" w:rsidRDefault="00535BF4" w:rsidP="00535B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5B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Регулятор принял решение не ограничивать с 16 августа полную стоимость кредита (ПСК): для кредитных организаций - по всем категориям потребительских кредитов (займов); для кредитных потребительских кооперативов, сельскохозяйственных кредитных потребительских кооперативов - по всем категориям потребительских займов; для микрофинансовых организаций - по категориям: потребительских займов, обязательства по которым обеспечены ипотекой; POS-займов. </w:t>
      </w:r>
    </w:p>
    <w:p w14:paraId="4E8F50DD" w14:textId="77777777" w:rsidR="00535BF4" w:rsidRPr="00535BF4" w:rsidRDefault="00535BF4" w:rsidP="00535B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5B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 иным категориям ПСК микрофинансовых организаций и по всем категориям ПСК ломбардов ограничения сохраняются. </w:t>
      </w:r>
    </w:p>
    <w:p w14:paraId="7A424685" w14:textId="77777777" w:rsidR="00535BF4" w:rsidRPr="00C314AB" w:rsidRDefault="00535BF4"/>
    <w:sectPr w:rsidR="00535BF4" w:rsidRPr="00C31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795"/>
    <w:rsid w:val="00176413"/>
    <w:rsid w:val="001E7795"/>
    <w:rsid w:val="00535BF4"/>
    <w:rsid w:val="00831F44"/>
    <w:rsid w:val="00B52DC1"/>
    <w:rsid w:val="00BB57D2"/>
    <w:rsid w:val="00C3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489D2"/>
  <w15:chartTrackingRefBased/>
  <w15:docId w15:val="{2D21FAC0-8C97-49BE-A12D-974326562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2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B52D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2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2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3579</Words>
  <Characters>20401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Tawad</dc:creator>
  <cp:keywords/>
  <dc:description/>
  <cp:lastModifiedBy>Квеквескири Михаил Геннадьевич</cp:lastModifiedBy>
  <cp:revision>4</cp:revision>
  <dcterms:created xsi:type="dcterms:W3CDTF">2023-09-11T13:21:00Z</dcterms:created>
  <dcterms:modified xsi:type="dcterms:W3CDTF">2023-09-11T13:46:00Z</dcterms:modified>
</cp:coreProperties>
</file>